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كأداة لتحقيق الميزة التنافسية المستدامة دراسة حالة : شركة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شيوب أمال/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اليقظة/ اليقظة الاستراتيجية/ الميزة التنافسية المستدامة/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