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أليات منح القروض الاستثمارية في البنوك التجارية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عيساوي سهام (مشرفا)/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 المركزي/ البنوك التجارية/ المخاطر/ بنك الفلاحة و التنمية الريفية/ القروض الإستثمارية/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