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اثر الإقراض البنكي على إنشاء وترقية المؤسسات الصغيرة والمتوسطة دراسة حالة  بنك الفلاحة والتنمية الريفية - ميلة 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بلقج حليمة/ هبول محمد(مشرفا)/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121ص.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33026311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القروض/ المؤسسات الصغيرة والمتوسطة/ سياسة الإقراض/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