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علاج مشكلة السيولة في البنوك الإسلامية دراسة حالة بنك أبو ظبي الإسلامي خلال الفترة (2008-2012)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,دوفي قرمية (رئيسا) ,معارفي فريدة (عضوا 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السيولة/ البنوك الإسلامية/ الصيرفة الإسلامية/ بنك أبوظبي الإسلامي/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