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كوك الإسلامية في تفعيل الاستثمار طويل الأجل بالبنوك الإسلامية   دراسة حالة أبوظبي الإسلامي للفترة : 2003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ميتة حبيبة/ ,بوطلاعة محمد(رئيسا),كنيدة زليخة(مناقشا),مشري فري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إسلامية/ الصكوك الإسلامية/ الاستثمار طويل الأج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