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كوك الإسلامية في تفعيل الاستثمار طويل الأجل بالبنوك الإسلامية   دراسة حالة أبوظبي الإسلامي للفترة : 2003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ميتة حبيبة/ ,بوطلاعة محمد(رئيسا),كنيدة زليخة(مناقشا),مشري فر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إسلامية/ الصكوك الإسلامية/ الاستثمار طويل الأج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