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السياسة النقدية للبنك المركزي الإسلامي في ظل نظام لا ربوي دراسة حالة : بنك السودان المركزي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هواين عفاف/ ,مخناش سيف الاسلام(رئيسا) ,مناع فاتح(مناقشا) ,معارفي فريدة(مشرفا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 الإسلامي/ السياسة النقدية/ البنك المركزي الإسلامي/ تنظيم الجهاز المصرفي/ تنظيم عرض النقود/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