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السياسة النقدية للبنك المركزي الإسلامي في ظل نظام لا ربوي دراسة حالة : بنك السودان المركزي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هواين عفاف/ ,مخناش سيف الاسلام(رئيسا) ,مناع فاتح(مناقشا) ,معارفي فريدة(مشرفا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 الإسلامي/ السياسة النقدية/ البنك المركزي الإسلامي/ تنظيم الجهاز المصرفي/ تنظيم عرض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