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des espaces vectoriels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Jean-Jacques Colin/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143p.</w:t>
            </w:r>
          </w:p>
        </w:tc>
      </w:tr>
      <w:tr>
        <w:trPr>
          <w:trHeight w:val="567"/>
        </w:trPr>
        <w:tc>
          <w:tcPr>
            <w:tcW w:type="dxa" w:w="3000"/>
          </w:tcPr>
          <w:p>
            <w:r>
              <w:t>Format</w:t>
            </w:r>
          </w:p>
        </w:tc>
        <w:tc>
          <w:tcPr>
            <w:tcW w:type="dxa" w:w="7000"/>
          </w:tcPr>
          <w:p>
            <w:r>
              <w:t>21*15</w:t>
            </w:r>
          </w:p>
        </w:tc>
      </w:tr>
      <w:tr>
        <w:trPr>
          <w:trHeight w:val="567"/>
        </w:trPr>
        <w:tc>
          <w:tcPr>
            <w:tcW w:type="dxa" w:w="3000"/>
          </w:tcPr>
          <w:p>
            <w:r>
              <w:t>Notes Générales</w:t>
            </w:r>
          </w:p>
        </w:tc>
        <w:tc>
          <w:tcPr>
            <w:tcW w:type="dxa" w:w="7000"/>
          </w:tcPr>
          <w:p>
            <w:r>
              <w:t>algèbre</w:t>
            </w:r>
          </w:p>
        </w:tc>
      </w:tr>
      <w:tr>
        <w:trPr>
          <w:trHeight w:val="567"/>
        </w:trPr>
        <w:tc>
          <w:tcPr>
            <w:tcW w:type="dxa" w:w="3000"/>
          </w:tcPr>
          <w:p>
            <w:r>
              <w:t>Numéro d'Identification</w:t>
            </w:r>
          </w:p>
        </w:tc>
        <w:tc>
          <w:tcPr>
            <w:tcW w:type="dxa" w:w="7000"/>
          </w:tcPr>
          <w:p>
            <w:r>
              <w:t>9782854289152</w:t>
            </w:r>
          </w:p>
        </w:tc>
      </w:tr>
    </w:tbl>
    <w:p>
      <w:pPr>
        <w:pStyle w:val="Heading3"/>
      </w:pPr>
      <w:r>
        <w:t>Résumé :</w:t>
      </w:r>
    </w:p>
    <w:p>
      <w:r>
        <w:t>Ce manuel reprend les fondamentaux de l'algèbre de deuxième et troisième année d'université et propose des exercices corrigés classés par thème, en préparation aux concours d'entrée aux grandes écoles ou au Capes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