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Aérosols atmosphériques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Olivier Boucher/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248p.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pollution atmosphérique, changement climatique</w:t>
            </w:r>
          </w:p>
        </w:tc>
      </w:tr>
      <w:tr>
        <w:trPr>
          <w:trHeight w:val="567"/>
        </w:trPr>
        <w:tc>
          <w:tcPr>
            <w:tcW w:type="dxa" w:w="3000"/>
          </w:tcPr>
          <w:p>
            <w:r>
              <w:t>Numéro d'Identification</w:t>
            </w:r>
          </w:p>
        </w:tc>
        <w:tc>
          <w:tcPr>
            <w:tcW w:type="dxa" w:w="7000"/>
          </w:tcPr>
          <w:p>
            <w:r>
              <w:t>9782817800547</w:t>
            </w:r>
          </w:p>
        </w:tc>
      </w:tr>
    </w:tbl>
    <w:p>
      <w:pPr>
        <w:pStyle w:val="Heading3"/>
      </w:pPr>
      <w:r>
        <w:t>Résumé :</w:t>
      </w:r>
    </w:p>
    <w:p>
      <w:r>
        <w:t>Description des principales propriétés physiques et chimiques des aérosols et des principes de modélisation à grande échelle. Aborde la théorie du transfert radiatif dans l'atmosphère, les techniques de télédétection et d'observation in situ des aérosols, puis les liens entre aérosols et rayonnement et leurs différents impacts sur le climat. Enfin, évalue les perspectives d'utilisation.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