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تطبيق صيغة المشاركة في البنوك الإسلامية دراسة حالة : بنك أبو ظبي الإسلامي خلال الفترة 2009-2013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مريخي ياسين/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الإئتمان/ التمويل/ الشركات/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