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ثمار في البنوك الإسلامية دراسة حالة بنك أبوظبي الإسلامي للفترة 2009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سكر ليلى/ ،دوفي قرمية(رئيسا)، صديقي سعاد(مناقشا)، بوفنش وسيل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وض/ الامو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