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الاستثمار في البنوك الإسلامية دراسة حالة بنك أبوظبي الإسلامي للفترة 2009-2013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عسكر ليلى/ ،دوفي قرمية(رئيسا)، صديقي سعاد(مناقشا)، بوفنش وسيلة(مشرفا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33052411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القروض/ الاموال/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