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دير الكفاءة الإنتاجية في المؤسسات الجزائرية - دراسة حالة مطاحن بني هارون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باحة سهام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جور/ الإنتا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