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في استمرارية الميزة التنافسية للبنوك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بورورو ابتسام/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التكنولوجيا/ سلوك المستهلك/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