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الابتكار في استمرارية الميزة التنافسية للبنوك دراسة حالة بنك الفلاحة والتنمية الريفية - شلغوم العيد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بورورو ابتسام/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التكنولوجيا/ سلوك المستهلك/ التنمية المستدامة/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