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تقنية القرض الإيجاري ودورها في تمويل المؤسسات الاقتصادية دراسة حالة بنك الفلاحة والتنمية الريفية BADR وكالة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حيطوم علي/ حراق مصباح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تجارب القرض الإيجاري/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