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قروض الإستغلال في البنوك التجارية ودورها في تمويل الاستثمار المحلي دراسة حالة: بنك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بولعجين بسمة/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الضريبة/ الحوافز/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