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nouvelle gestion publique : concepts, outils, structures, bonnes et mauvaises pratiques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Alain-Gérard Cohen/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Gualino/ </w:t>
            </w:r>
          </w:p>
        </w:tc>
      </w:tr>
      <w:tr>
        <w:trPr>
          <w:trHeight w:val="567"/>
        </w:trPr>
        <w:tc>
          <w:tcPr>
            <w:tcW w:type="dxa" w:w="3000"/>
          </w:tcPr>
          <w:p>
            <w:r>
              <w:t>Nombre de Pages</w:t>
            </w:r>
          </w:p>
        </w:tc>
        <w:tc>
          <w:tcPr>
            <w:tcW w:type="dxa" w:w="7000"/>
          </w:tcPr>
          <w:p>
            <w:r>
              <w:t>221p.</w:t>
            </w:r>
          </w:p>
        </w:tc>
      </w:tr>
      <w:tr>
        <w:trPr>
          <w:trHeight w:val="567"/>
        </w:trPr>
        <w:tc>
          <w:tcPr>
            <w:tcW w:type="dxa" w:w="3000"/>
          </w:tcPr>
          <w:p>
            <w:r>
              <w:t>Format</w:t>
            </w:r>
          </w:p>
        </w:tc>
        <w:tc>
          <w:tcPr>
            <w:tcW w:type="dxa" w:w="7000"/>
          </w:tcPr>
          <w:p>
            <w:r>
              <w:t>24*16</w:t>
            </w:r>
          </w:p>
        </w:tc>
      </w:tr>
      <w:tr>
        <w:trPr>
          <w:trHeight w:val="567"/>
        </w:trPr>
        <w:tc>
          <w:tcPr>
            <w:tcW w:type="dxa" w:w="3000"/>
          </w:tcPr>
          <w:p>
            <w:r>
              <w:t>Notes Générales</w:t>
            </w:r>
          </w:p>
        </w:tc>
        <w:tc>
          <w:tcPr>
            <w:tcW w:type="dxa" w:w="7000"/>
          </w:tcPr>
          <w:p>
            <w:r>
              <w:t>gestion publique, marché public, aide de l'Etat, secteur public, finances publiques</w:t>
            </w:r>
          </w:p>
        </w:tc>
      </w:tr>
      <w:tr>
        <w:trPr>
          <w:trHeight w:val="567"/>
        </w:trPr>
        <w:tc>
          <w:tcPr>
            <w:tcW w:type="dxa" w:w="3000"/>
          </w:tcPr>
          <w:p>
            <w:r>
              <w:t>Numéro d'Identification</w:t>
            </w:r>
          </w:p>
        </w:tc>
        <w:tc>
          <w:tcPr>
            <w:tcW w:type="dxa" w:w="7000"/>
          </w:tcPr>
          <w:p>
            <w:r>
              <w:t>9782297030229</w:t>
            </w:r>
          </w:p>
        </w:tc>
      </w:tr>
      <w:tr>
        <w:trPr>
          <w:trHeight w:val="567"/>
        </w:trPr>
        <w:tc>
          <w:tcPr>
            <w:tcW w:type="dxa" w:w="3000"/>
          </w:tcPr>
          <w:p>
            <w:r>
              <w:t>Sujet(s)</w:t>
            </w:r>
          </w:p>
        </w:tc>
        <w:tc>
          <w:tcPr>
            <w:tcW w:type="dxa" w:w="7000"/>
          </w:tcPr>
          <w:p>
            <w:r>
              <w:t xml:space="preserve">secteur public/ Gestion Publique/ marché public/ Finances Publiques/ aide de l'Etat/ </w:t>
            </w:r>
          </w:p>
        </w:tc>
      </w:tr>
    </w:tbl>
    <w:p>
      <w:pPr>
        <w:pStyle w:val="Heading3"/>
      </w:pPr>
      <w:r>
        <w:t>Résumé :</w:t>
      </w:r>
    </w:p>
    <w:p>
      <w:r>
        <w:t>Les modalités du PIFC, nouvelle gestion des administrations imposée par la Commission européenne à tous les membres de l'Union, sont ici abordées de façon pratique. A l'instar des concepts utilisés par la gestion privée, ces outils proposent aux fonctionnaires, mais aussi aux élus et aux receveurs d'aide internationale ou locale, un mode de gestion inspiré de la culture du résultat.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