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islamique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Aldo Levy/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Gualino/ </w:t>
            </w:r>
          </w:p>
        </w:tc>
      </w:tr>
      <w:tr>
        <w:trPr>
          <w:trHeight w:val="567"/>
        </w:trPr>
        <w:tc>
          <w:tcPr>
            <w:tcW w:type="dxa" w:w="3000"/>
          </w:tcPr>
          <w:p>
            <w:r>
              <w:t>Nombre de Pages</w:t>
            </w:r>
          </w:p>
        </w:tc>
        <w:tc>
          <w:tcPr>
            <w:tcW w:type="dxa" w:w="7000"/>
          </w:tcPr>
          <w:p>
            <w:r>
              <w:t>251p.</w:t>
            </w:r>
          </w:p>
        </w:tc>
      </w:tr>
      <w:tr>
        <w:trPr>
          <w:trHeight w:val="567"/>
        </w:trPr>
        <w:tc>
          <w:tcPr>
            <w:tcW w:type="dxa" w:w="3000"/>
          </w:tcPr>
          <w:p>
            <w:r>
              <w:t>Format</w:t>
            </w:r>
          </w:p>
        </w:tc>
        <w:tc>
          <w:tcPr>
            <w:tcW w:type="dxa" w:w="7000"/>
          </w:tcPr>
          <w:p>
            <w:r>
              <w:t>20*15</w:t>
            </w:r>
          </w:p>
        </w:tc>
      </w:tr>
      <w:tr>
        <w:trPr>
          <w:trHeight w:val="567"/>
        </w:trPr>
        <w:tc>
          <w:tcPr>
            <w:tcW w:type="dxa" w:w="3000"/>
          </w:tcPr>
          <w:p>
            <w:r>
              <w:t>Notes Générales</w:t>
            </w:r>
          </w:p>
        </w:tc>
        <w:tc>
          <w:tcPr>
            <w:tcW w:type="dxa" w:w="7000"/>
          </w:tcPr>
          <w:p>
            <w:r>
              <w:t>islam, droit islamique, marché financier, finance</w:t>
            </w:r>
          </w:p>
        </w:tc>
      </w:tr>
      <w:tr>
        <w:trPr>
          <w:trHeight w:val="567"/>
        </w:trPr>
        <w:tc>
          <w:tcPr>
            <w:tcW w:type="dxa" w:w="3000"/>
          </w:tcPr>
          <w:p>
            <w:r>
              <w:t>Numéro d'Identification</w:t>
            </w:r>
          </w:p>
        </w:tc>
        <w:tc>
          <w:tcPr>
            <w:tcW w:type="dxa" w:w="7000"/>
          </w:tcPr>
          <w:p>
            <w:r>
              <w:t>9782297005609</w:t>
            </w:r>
          </w:p>
        </w:tc>
      </w:tr>
      <w:tr>
        <w:trPr>
          <w:trHeight w:val="567"/>
        </w:trPr>
        <w:tc>
          <w:tcPr>
            <w:tcW w:type="dxa" w:w="3000"/>
          </w:tcPr>
          <w:p>
            <w:r>
              <w:t>Sujet(s)</w:t>
            </w:r>
          </w:p>
        </w:tc>
        <w:tc>
          <w:tcPr>
            <w:tcW w:type="dxa" w:w="7000"/>
          </w:tcPr>
          <w:p>
            <w:r>
              <w:t xml:space="preserve">Finance/ marché financier/ Islam/ droit islamique/ </w:t>
            </w:r>
          </w:p>
        </w:tc>
      </w:tr>
    </w:tbl>
    <w:p>
      <w:pPr>
        <w:pStyle w:val="Heading3"/>
      </w:pPr>
      <w:r>
        <w:t>Résumé :</w:t>
      </w:r>
    </w:p>
    <w:p>
      <w:r>
        <w:t>Après une partie sur les relations entre la finance, la morale et la religion, l'auteur aborde les opérations financières, les principaux modes de financement, les banques islamiques et les risques des banques islamiques face à la crise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