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financière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Jérôme Caby/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analyse financière, comptabilité analytique, rentabilité, concurrence, crédit, investissement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9782744076411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financière/ Comptabilité analytique/ crédit/ investissement/ rentabilité/ concurrence/ </w:t>
            </w:r>
          </w:p>
        </w:tc>
      </w:tr>
    </w:tbl>
    <w:p>
      <w:pPr>
        <w:pStyle w:val="Heading3"/>
      </w:pPr>
      <w:r>
        <w:t>Résumé :</w:t>
      </w:r>
    </w:p>
    <w:p>
      <w:r>
        <w:t>Une méthode originale fondée sur la pratique de l'analyse financière. Les apports théoriques apparaissent au cours du traitement du cas, sa résolution progressive a une vocation généralisatrice qui permet de conduire à la compréhension des principales techniques de l'analyse financière. Les données mobilisées pour le cas sont issues d'une entreprise du secteur de la transformation du plastique.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