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vectoriels normés, banachiques et hilbertiens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 Sondaz/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mathématiques, topologie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9782364930155</w:t>
            </w:r>
          </w:p>
        </w:tc>
      </w:tr>
    </w:tbl>
    <w:p>
      <w:pPr>
        <w:pStyle w:val="Heading3"/>
      </w:pPr>
      <w:r>
        <w:t>Résumé :</w:t>
      </w:r>
    </w:p>
    <w:p>
      <w:r>
        <w:t>Propose des exercices après des rappels de cours, classés par thème et par ordre de difficulté croissante. Le fascicule insiste sur la convexité qui permet d'aborder le théorème de Hahn-Banach sous sa forme analytique et géométrique.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