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مقارنة ميكانيزمات الإقراض البنكي ومخاطره بين بنك تجاري وبنك إسلامي : دراسة حالة -بنك الفلاحة والتنمية الريفية وبنك دبي الإسلامي-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بوالدهان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 البنكية/ الضمانات البنكية/ مخاطر القروض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