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وإجراءات منح القروض الإستثمارية في تمويل المؤسسات الإقتصادية : دراسة حالة بنك الفلاحة والتنمية الريفية BADR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نهاد/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البنوك/ القروض/ المؤسسة الإقتصادية/ BADR/ قروض الإستثمار/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