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سياسات وإجراءات منح القروض الإستثمارية في تمويل المؤسسات الإقتصادية : دراسة حالة بنك الفلاحة والتنمية الريفية BADR -ميلة-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بحري نهاد/ بوركوة عبد المالك(مشرفا)/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الإستثمار/ البنوك/ القروض/ المؤسسة الإقتصادية/ BADR/ قروض الإستثمار/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