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القروض في المؤسسات  البنكية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رميساء/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المصرفي/ لجنة بازل/ المخاطر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