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تسيير مخاطر القروض في المؤسسات  البنكية  دراسة حالة بنك الفلاحة والتنمية الريفية -وكالة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زارزي رميساء/ رملي حمزة(مشرفا)/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 التجارية/ النظام المصرفي/ لجنة بازل/ المخاطر المصرفية/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