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السيولة في البنوك التجارية دراسة حالة بنك القرض الشعبي الجزائري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بلور أحلام/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المخاطر المصرفية/ إدارة السيولة/ السيولة المصرفية/ مخاطر السيولة/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