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ميزانية المؤسسات التربوية دراسة حالة ثانوية مغلاوة رمضان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شرطيوي وفاء/ ،محمد بوطلاعة(رئيسا)،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المؤسسات العمومية/ ميزانية المؤسسات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