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الإصلاحات المالية في تشجيع الإستثمارات الأجنبية المباشرة في الجزائر : دراسة حالة الجزائر (2000-2013)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بورويسة ياسمينة/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 الأجنبي المباشر/ الإصلاح الضريبي/ الإصلاحات المالية/ إصلاح سياسة سعر الصرف/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