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المشاريع الإستثمارية عن طريق صيغتي السلم والقرض : دراسة حالة بنك البركة الإسلامي -وكالة قسنطينة وبنك الفلاحة والتنمية الريفية BADR وكالة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ذيب عبد الرزاق/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المخاطر المصرفية/ السلم والقرض/ ضمانات إسترداد الأموال/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