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المشاريع الإستثمارية عن طريق صيغتي السلم والقرض : دراسة حالة بنك البركة الإسلامي -وكالة قسنطينة وبنك الفلاحة والتنمية الريفية BADR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عبد الرزاق/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المخاطر المصرفية/ السلم والقرض/ ضمانات إسترداد الأموال/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