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ومتطلبات تطبيقها بالإدارة التربوية : دراسة حالة مديرية التربية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قوريشي سميرة/ ،هولي فرحات(رئيسا) ,قرين الربيع(مناقشا) 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الإلكترونية/ الإدارة التربوية/ الأنترانت/ الإكسترانت/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