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بين مشاريع القطاعين العام والخاص : الاطار النظري والتطبيق العم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الشرا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