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سعير وإنعكاساتها على ربحية المؤسسة : دراسة حالة مؤسسة مواد البناء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ي ري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سياسة التسعير/ مؤسسة مواد البناء/ شلغوم الع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