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الإستثمارات المحلية : دراسة حالة بنك الفلاحة والتنمية الريفية BADRوكالة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أمينة/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والتنمية الريفية/ الإستثمارات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