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الفكري في تحقيق الميزة التنافسية : دراسة حالة بنك الفلاحة و التنمية الريفية BADR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خاتمة بن ورزق/ عبد المالك بوركوة(رئيسا) ,زليخة كنيدة(مناقشا) ,ربيع قرين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الميزة التنافسية/ رأس المال الفكري/ رأس المال البشري/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