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هيكل الصناعة المصرفية بالإستراتجيات المعتمدة في الصناعة : دراسة حالة : بنك الفلاحة و التنمية الريفية و الصندوق الوطني للتوفير و الاحتياط - بنك (وكالتي 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وداد بوقلع/ ربيع قرين(رئيسا) ,فؤاد وشاش(مناقشا) ,فواز واضح(مشرفا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الإستراتيجية/ الصناعة/ الصناعة المصرفية/ بنك الفلاحة و 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