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علاقة هيكل الصناعة المصرفية بالإستراتجيات المعتمدة في الصناعة : دراسة حالة : بنك الفلاحة و التنمية الريفية و الصندوق الوطني للتوفير و الاحتياط - بنك (وكالتي القرارم)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وداد بوقلع/ ربيع قرين(رئيسا) ,فؤاد وشاش(مناقشا) ,فواز واضح(مشرفا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الإستراتيجية/ الصناعة/ الصناعة المصرفية/ بنك الفلاحة و التنمية الريفية/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