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الإستثمار في الصكوك الإسلامية على ربحية البنوك الإسلامية : دراسة حالة بنك دبي الإسلامي خلال الفترة 2009-2015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بلحلو لمياء/ قرمية دوفي(رئيسا),زوليخة كنيدة(مناقشا),فريد مشري(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البنوك الإسلامية/ الربحية/ بنك دبي الإسلامي/ الصكوك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