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في الصكوك الإسلامية على ربحية البنوك الإسلامية : دراسة حالة بنك دبي الإسلامي خلال الفترة 2009-2015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لمياء/ قرمية دوفي(رئيسا),زوليخة كنيدة(مناقشا),فريد مشري(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الربحية/ بنك دبي الإسلامي/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