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التخفيضات الترويجية و القرار الشرائي أي دور للعوامل الديمغرافية؟: دراسة لعينة من المستهلكين ولاية ميلة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Type Document</w:t>
            </w:r>
          </w:p>
        </w:tc>
        <w:tc>
          <w:tcPr>
            <w:tcW w:type="dxa" w:w="4320"/>
            <w:vAlign w:val="center"/>
          </w:tcPr>
          <w:p>
            <w:r>
              <w:t>Autres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Langue</w:t>
            </w:r>
          </w:p>
        </w:tc>
        <w:tc>
          <w:tcPr>
            <w:tcW w:type="dxa" w:w="7000"/>
          </w:tcPr>
          <w:p>
            <w:r>
              <w:t>Arabe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Auteur(s)</w:t>
            </w:r>
          </w:p>
        </w:tc>
        <w:tc>
          <w:tcPr>
            <w:tcW w:type="dxa" w:w="7000"/>
          </w:tcPr>
          <w:p>
            <w:r>
              <w:t xml:space="preserve">حمانة حسام/ هولي فرحات(رئيسا)،بوقجاني جناة(مناقشا)،بلحاج طارق(مشرفا و مقررا)،/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Adresse bib.</w:t>
            </w:r>
          </w:p>
        </w:tc>
        <w:tc>
          <w:tcPr>
            <w:tcW w:type="dxa" w:w="7000"/>
          </w:tcPr>
          <w:p>
            <w:r/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Nombre de Pages</w:t>
            </w:r>
          </w:p>
        </w:tc>
        <w:tc>
          <w:tcPr>
            <w:tcW w:type="dxa" w:w="7000"/>
          </w:tcPr>
          <w:p>
            <w:r>
              <w:t>75ص.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Format</w:t>
            </w:r>
          </w:p>
        </w:tc>
        <w:tc>
          <w:tcPr>
            <w:tcW w:type="dxa" w:w="7000"/>
          </w:tcPr>
          <w:p>
            <w:r>
              <w:t>30*21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Numéro d'Identification</w:t>
            </w:r>
          </w:p>
        </w:tc>
        <w:tc>
          <w:tcPr>
            <w:tcW w:type="dxa" w:w="7000"/>
          </w:tcPr>
          <w:p>
            <w:r>
              <w:t>330109311</w:t>
            </w:r>
          </w:p>
        </w:tc>
      </w:tr>
    </w:tbl>
    <w:p>
      <w:pPr>
        <w:pStyle w:val="Heading3"/>
      </w:pPr>
      <w:r>
        <w:t>Résumé :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30/07/2026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