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الثقافة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وزارة الثقافة/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وزارة الثقافة/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Périodicité</w:t>
            </w:r>
          </w:p>
        </w:tc>
        <w:tc>
          <w:tcPr>
            <w:tcW w:type="dxa" w:w="7000"/>
          </w:tcPr>
          <w:p>
            <w:r>
              <w:t>bimensuelle (deux fois par mois)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05111771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