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التعديلات الجديدة لقانون ضريبة الدخل رقم 25 لسنة 2001 على الإيرادات الضريبية في المملكة وتأثيرتها على المستوى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إيهاب نظمي إبراهيم/ خليل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15-34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