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Bifurcations et chaos dans un système fractionnaire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Bourafa safa/ Mohammed-Salah Abdelouahab (Rapporteur)/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D51003</w:t>
            </w:r>
          </w:p>
        </w:tc>
      </w:tr>
    </w:tbl>
    <w:p>
      <w:pPr>
        <w:pStyle w:val="Heading3"/>
      </w:pPr>
      <w:r>
        <w:t>Résumé :</w:t>
      </w:r>
    </w:p>
    <w:p>
      <w:r>
        <w:t>résumé</w:t>
        <w:br/>
        <w:br/>
        <w:t>Dans cette thèse, nous avons présenté</w:t>
        <w:br/>
        <w:br/>
        <w:t xml:space="preserve"> quelques sujets de base qui</w:t>
        <w:br/>
        <w:br/>
        <w:t>sont nécessaires pour étudier la Bifurcations et le Chaos dans un</w:t>
        <w:br/>
        <w:br/>
        <w:t>système d'ordre fractionnaire. Notamment, les conditions de la</w:t>
        <w:br/>
        <w:br/>
        <w:t>stabilité et l'existence des solutions périodiques. Dans le but de</w:t>
        <w:br/>
        <w:br/>
        <w:t>faciliter l'étude de la stabilité nous avons consacré le premier</w:t>
        <w:br/>
        <w:br/>
        <w:t>travail pour prolonger les conditions de Routh-Hrwitz pour les</w:t>
        <w:br/>
        <w:br/>
        <w:t>systèmes fractionnaires d'ordre [ ) Dans le de le deuxième</w:t>
        <w:br/>
        <w:br/>
        <w:t>travail, nous étendons la modification qui consiste à fixer la</w:t>
        <w:br/>
        <w:br/>
        <w:t>longueur de la mémoire et à faire varier la borne inférieure des</w:t>
        <w:br/>
        <w:br/>
        <w:t>opérateurs de différentiation fractionnaire, cette modification nous</w:t>
        <w:br/>
        <w:br/>
        <w:t>a permis de conserver la périodicité. Pour illustrer nos résultats</w:t>
        <w:br/>
        <w:br/>
        <w:t>théoriques, nous avons utilisé quelques exemples numériques de</w:t>
        <w:br/>
        <w:br/>
        <w:t>certains systèmes d'ordre fractionnaire.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