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النسب المالية في تشخيص الأداء البنكي لمجموعة البركة المصرفية خلال الفترة 2010- 2020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لوصيف،رحاب/ حفاف عزالدين/ مزهود هشام (رئيسا) ; رملي حمزة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الإسلامية/ الأداء المالي/ النسب المالية/ مؤشرات الأداء البنكي/ </w:t>
            </w:r>
          </w:p>
        </w:tc>
      </w:tr>
    </w:tbl>
    <w:p>
      <w:pPr>
        <w:pStyle w:val="Heading3"/>
      </w:pPr>
      <w:r>
        <w:t>Résumé :</w:t>
      </w:r>
    </w:p>
    <w:p>
      <w:r>
        <w:t>???? ??????? ??? ????? ?????? ?????? ?????? ????????? ?????? ????? ???????? ??? ????? ??? ??????? ??? ?????? ?????? ???????? ????? ??? ????? ??????? ???? ?????? (2010-2020) ?????? ?????? ??????? ??? ???? ??????? ??? ?? ?????? ?????? ???????? ????? ?? ??????? ??????? ??????? ?????? ??? ???? ?????? ??? ?? 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