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صندوق الزكاة في تمويل المشاريع وفق آلية القرض الحسن دراسة حالة مديرية الشؤون الدينية والأوقا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شنوف ندى/ بوراوي رميساء/ عباسي صبرينة(رئيسا)،زموري كمال(مشرفا ومقررا)،أوصالح عبد الحليم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مويل المشاريع/ التمويل الإسلامي/ صندوق الزكاة/ القرض الحسن/ التنمية الاقتصادية والاجتماع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