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زكاة في تمويل المشاريع وفق آلية القرض الحسن دراسة حالة مديرية الشؤون الدينية والأوقا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نوف ندى/ بوراوي رميساء/ عباسي صبرينة(رئيسا)،زموري كمال(مشرفا ومقررا)،أوصالح عبد الحل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مويل المشاريع/ التمويل الإسلامي/ صندوق الزكاة/ القرض الحسن/ التنمية الاقتصادية والاجتماع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