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أشعار أبي قاسم الشابي تحليل نمادج مختارة -رؤية بلاغية أسلوبية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بن يحي خولة/ بوصبع راضية/ بوالقديد رميسة/ حمر العين عبد الهادي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عبد الحفيظ بوالصوف/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67ص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800356111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