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تأثير سياسة توزيع الأرباح على الاداء المالي دراسة حالة عينة من المؤسسات المدرجة في بورصة قطر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جنحي أمينة/ كبير رشا/ بوسيكس حليمة(مشرفا ومقررا)/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ماستر- ل م د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Spécialité</w:t>
            </w:r>
          </w:p>
        </w:tc>
        <w:tc>
          <w:tcPr>
            <w:tcW w:type="dxa" w:w="7000"/>
          </w:tcPr>
          <w:p>
            <w:r>
              <w:t>Management financier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المركز الجامعي عبد الحفيظ بوالصوف ميلة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330189511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علوم إقتصادية/ </w:t>
            </w:r>
          </w:p>
        </w:tc>
      </w:tr>
    </w:tbl>
    <w:p>
      <w:pPr>
        <w:pStyle w:val="Heading3"/>
      </w:pPr>
      <w:r>
        <w:t>Résumé :</w:t>
      </w:r>
    </w:p>
    <w:p/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31/07/2026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