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troubles du langage écrit chez les élèves du cycle primaire Cas des communes : Mila et Grarem Gouga.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BOUSMAHA Amina/ BOUTELLAA Narimene/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Langue française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44015211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