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رقمنة الخدمات المصرفية ودورها في تعزيز الأداء المالي للبنوك: دراسة حالة بنك الفلاحة والتنمية الريفية -ميلة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 بغيلة يحي/ العلمي إسحاق/ سعدي جعفر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100 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Spécialité</w:t>
            </w:r>
          </w:p>
        </w:tc>
        <w:tc>
          <w:tcPr>
            <w:tcW w:type="dxa" w:w="7000"/>
          </w:tcPr>
          <w:p>
            <w:r>
              <w:t>Economie monétaire et bancaire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M2/330/170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علوم إقتصادية/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