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Intelligent Approach to Wild Fire Prediction: Case Study of Jijel Region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Madjed BENCHEIKH LEHOCINE(President),Nardjes BOUCHEMAL(Supervisor),Salim DJAABOUB(Co-Supervisor),Mounira BOUZAHZAH(Examiner),Ahmed ALIOUA(Examiner)/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Mathématiques et applications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>
      <w:r>
        <w:t>Wildfires have intensified across the Mediterranean under compounding eatwaves, drought,</w:t>
        <w:br/>
        <w:br/>
        <w:t>and human pressure, making a shift from reaction to prevention essential. This thesis develops an operational wildfire susceptibility mapping (WSM) framework for Jijel Province</w:t>
        <w:br/>
        <w:br/>
        <w:t>(Algeria) that integrates Geographic Information Systems (GIS) and machine learning. Fourteen conditioning factorstopography (elevation, slope, aspect), climate (minimum, maximum,</w:t>
        <w:br/>
        <w:br/>
        <w:t>and average temperature, humidity, wind speed, precipitation), vegetation (Normalized Difference Vegetation Index, NDVI), and anthropogenic pressure (distance to roads and settlements)are harmonized on a 30,m grid and linked with civil protection fire records, yielding</w:t>
        <w:br/>
        <w:br/>
        <w:t>an analysis-ready matrix of approximately 2.6 million samples. Collinearity screening (maximum Variance Inflation Factor, VIF = 7.58; minimum tolerance = 0.11) and light k-means</w:t>
        <w:br/>
        <w:br/>
        <w:t>denoising of the Low class improve model stability.</w:t>
        <w:br/>
        <w:br/>
        <w:t>We train Random Forest (RF), Extreme Gradient Boosting (XGBoost), a shallow Neural Network (NN), and Support Vector Machine (SVM) models with class balancing and</w:t>
        <w:br/>
        <w:br/>
        <w:t>probability calibration. On the internal holdout set, RF attains an Area Under the Receiver</w:t>
        <w:br/>
        <w:br/>
        <w:t>Operating Characteristic Curve (AUC) of 0.99 and an F1-score of 0.98, with XGBoost and</w:t>
        <w:br/>
        <w:br/>
        <w:t>NN performing similarly, and SVM showing solid performance (AUC = 0.94). Continuous</w:t>
        <w:br/>
        <w:br/>
        <w:t>susceptibility scores are calibrated and discretized into five classes (LowVery High). Independent time-forward validation overlays wildfire occurrences from 20242025 (Civil Protection</w:t>
        <w:br/>
        <w:br/>
        <w:t>records and Moderate Resolution Imaging Spectroradiometer, MODIS, data) on the susceptibility maps: 87.73</w:t>
        <w:br/>
        <w:br/>
        <w:t>The outputscalibrated probability surfaces, clearly legended risk classes, and uncertainty</w:t>
        <w:br/>
        <w:br/>
        <w:t>layersare suitable for integration into web-based GIS dashboards to support resource prepositioning, fuel-break maintenance at the wildlandurban interface (WUI), and thresholdbased early warning systems. Limitations (sparse meteorological stations and ignition geolocation uncertainty) and targeted improvements (denser in situ sensing and spatially blocked</w:t>
        <w:br/>
        <w:br/>
        <w:t>cross-validation) are discussed. The framework is transferable to similar Mediterranean environment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