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الرؤية الشعرية عند شعراء الخوارج</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محمد الصالح, داموس/ نسيمة كريبع(رئيسا)،ناصر بعداش(مشرفا)،معاشو بووشمة(عضوا مناقشا)،زبير بن صخري(عضوا مناقشا)،فاطمة نصير(عضوا مناقشا)،محمد عبد الهادي(عضوا مناقشا)/ </w:t>
            </w:r>
          </w:p>
        </w:tc>
      </w:tr>
      <w:tr>
        <w:trPr>
          <w:trHeight w:val="567"/>
        </w:trPr>
        <w:tc>
          <w:tcPr>
            <w:tcW w:type="dxa" w:w="3000"/>
          </w:tcPr>
          <w:p>
            <w:r>
              <w:t>Nombre de Pages</w:t>
            </w:r>
          </w:p>
        </w:tc>
        <w:tc>
          <w:tcPr>
            <w:tcW w:type="dxa" w:w="7000"/>
          </w:tcPr>
          <w:p>
            <w:r>
              <w:t>359ص.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Littérature arabe ancienne</w:t>
            </w:r>
          </w:p>
        </w:tc>
      </w:tr>
      <w:tr>
        <w:trPr>
          <w:trHeight w:val="567"/>
        </w:trPr>
        <w:tc>
          <w:tcPr>
            <w:tcW w:type="dxa" w:w="3000"/>
          </w:tcPr>
          <w:p>
            <w:r>
              <w:t>Etablissement</w:t>
            </w:r>
          </w:p>
        </w:tc>
        <w:tc>
          <w:tcPr>
            <w:tcW w:type="dxa" w:w="7000"/>
          </w:tcPr>
          <w:p>
            <w:r>
              <w:t>جامعة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D.N80019</w:t>
            </w:r>
          </w:p>
        </w:tc>
      </w:tr>
      <w:tr>
        <w:trPr>
          <w:trHeight w:val="567"/>
        </w:trPr>
        <w:tc>
          <w:tcPr>
            <w:tcW w:type="dxa" w:w="3000"/>
          </w:tcPr>
          <w:p>
            <w:r>
              <w:t>Classification(s)</w:t>
            </w:r>
          </w:p>
        </w:tc>
        <w:tc>
          <w:tcPr>
            <w:tcW w:type="dxa" w:w="7000"/>
          </w:tcPr>
          <w:p>
            <w:r>
              <w:t xml:space="preserve">اللغة والأدب العربي/ </w:t>
            </w:r>
          </w:p>
        </w:tc>
      </w:tr>
    </w:tbl>
    <w:p>
      <w:pPr>
        <w:pStyle w:val="Heading3"/>
      </w:pPr>
      <w:r>
        <w:t>Résumé :</w:t>
      </w:r>
    </w:p>
    <w:p>
      <w:r>
        <w:t>يتناول هذا البحث موضوع الرؤية الشعرية في شعر الخوارج، بوصفها أحد المكونًت الأساسية التي تكشف عن خصوصية التجربة الشعرية الخارجية وتميزها داخل المشهد الأدبي الإسلامي المبكر. وينطلق من فرضية مفادها أن شعر الخوارج لم يكن مجرد تعبير عن مواقف سياسية أو عقدية، بل كان تجسيدًا لرؤية فكرية وشعورية متكاملة انعكست في مضامينه وأساليبه الفنية، وأسهمت في تشكيل هويته الأدبية الخاصة . ويسعى البحث إلى الكشف عن ملامح هذه الرؤية وتتبع تجلياتها في النصوص الشعرية الخارجية، من خلال دراسة علاقتها بالواقع السياسي والاجتماعي والديني الذي نشأت فيه، وتحليل أثر المرجعياتالفكرية والعقدية في بناء التصورات الشعرية لشعراء الخوارج. كما يهدف إلى إبراز الكيفية التي تجسدت بها هذه الرؤية فنيًا عبر مختلف عناصر التشكيل الشعر ي . واعتمدت الدراسة منهجًا تكامليًا يجمع بين المقاربة التاريخية والتحليلية والموضوعاتية، بما يتيح الإحاطة بالنصوص الشعرية في سياقاتها التاريخية والفكرية، والكشف عن أبعادها الدلالية والجمال ية. وقد توزعت الدراسة بين جانب نظري تناول مفهوم الرؤية الشعرية واستقراء المصطلحات المتصلة بها، والتعريف بفرقة الخوارج وظروف نشأتها وأبرز شعرائها، وجانب تطبيقي خُصص لدراسة الرؤية الشعرية في شعر الخوارج وتجلياتها الفكرية والفنية . وقد خلصت الدراسة إلى أن شعر الخوارج يعكس رؤية شعرية متماسكة تشكلت في ظل ظروف سياسية وعقدية خاصة، فبرزت من خلالها مواقفهم من الدين والواقع والآخر والحياة والموت. كما تبين أن التشكيل الفني في القصيدة الخارجية لم يكن عنصرًا منفصلًا عن الرؤية، بل كان أداة فاعلة في تجسيدها وإبراز أبعادها الفكرية والوجدانية، من خلال الصورة الشعرية والمعجم اللغوي والحقول الدلالية والبنية الإيقاعية. وتؤكد نتائج البحث أن شعر الخوارج يمتلك قيمة فكرية وجمالية جديرة بالدراسة، وأنه يمثل تجربة شعرية متميزة أسهمت في إثراء التراث الأدبي العربي الإسلام</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