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دور استراتيجية المحيط الأزرق في إعادة بناء حدود الصناعة المصرفية الإسلامية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Arabe</w:t>
            </w:r>
          </w:p>
        </w:tc>
      </w:tr>
      <w:tr>
        <w:trPr>
          <w:trHeight w:val="567"/>
        </w:trPr>
        <w:tc>
          <w:tcPr>
            <w:tcW w:type="dxa" w:w="3000"/>
          </w:tcPr>
          <w:p>
            <w:r>
              <w:t>Auteur(s)</w:t>
            </w:r>
          </w:p>
        </w:tc>
        <w:tc>
          <w:tcPr>
            <w:tcW w:type="dxa" w:w="7000"/>
          </w:tcPr>
          <w:p>
            <w:r>
              <w:t xml:space="preserve">نورهان, شويب/ هولي فرحات(رئيسا)،برني ميلود(مشرفا ومقررا)،مشري فريد(مشرفا مساعدا)بوبحة سعاد(ممتحنا)،بيراز نوال(ممتحنا)،واسع حمزة(ممتحنا)،كرماني هدى(ممتحنا)/ </w:t>
            </w:r>
          </w:p>
        </w:tc>
      </w:tr>
      <w:tr>
        <w:trPr>
          <w:trHeight w:val="567"/>
        </w:trPr>
        <w:tc>
          <w:tcPr>
            <w:tcW w:type="dxa" w:w="3000"/>
          </w:tcPr>
          <w:p>
            <w:r>
              <w:t>Nombre de Pages</w:t>
            </w:r>
          </w:p>
        </w:tc>
        <w:tc>
          <w:tcPr>
            <w:tcW w:type="dxa" w:w="7000"/>
          </w:tcPr>
          <w:p>
            <w:r>
              <w:t>238ص.</w:t>
            </w:r>
          </w:p>
        </w:tc>
      </w:tr>
      <w:tr>
        <w:trPr>
          <w:trHeight w:val="567"/>
        </w:trPr>
        <w:tc>
          <w:tcPr>
            <w:tcW w:type="dxa" w:w="3000"/>
          </w:tcPr>
          <w:p>
            <w:r>
              <w:t>Format</w:t>
            </w:r>
          </w:p>
        </w:tc>
        <w:tc>
          <w:tcPr>
            <w:tcW w:type="dxa" w:w="7000"/>
          </w:tcPr>
          <w:p>
            <w:r>
              <w:t>PDF</w:t>
            </w:r>
          </w:p>
        </w:tc>
      </w:tr>
      <w:tr>
        <w:trPr>
          <w:trHeight w:val="567"/>
        </w:trPr>
        <w:tc>
          <w:tcPr>
            <w:tcW w:type="dxa" w:w="3000"/>
          </w:tcPr>
          <w:p>
            <w:r>
              <w:t>Diplôme</w:t>
            </w:r>
          </w:p>
        </w:tc>
        <w:tc>
          <w:tcPr>
            <w:tcW w:type="dxa" w:w="7000"/>
          </w:tcPr>
          <w:p>
            <w:r>
              <w:t>رسالة دكتوراه الطور الثالث</w:t>
            </w:r>
          </w:p>
        </w:tc>
      </w:tr>
      <w:tr>
        <w:trPr>
          <w:trHeight w:val="567"/>
        </w:trPr>
        <w:tc>
          <w:tcPr>
            <w:tcW w:type="dxa" w:w="3000"/>
          </w:tcPr>
          <w:p>
            <w:r>
              <w:t>Spécialité</w:t>
            </w:r>
          </w:p>
        </w:tc>
        <w:tc>
          <w:tcPr>
            <w:tcW w:type="dxa" w:w="7000"/>
          </w:tcPr>
          <w:p>
            <w:r>
              <w:t>Finance et banques</w:t>
            </w:r>
          </w:p>
        </w:tc>
      </w:tr>
      <w:tr>
        <w:trPr>
          <w:trHeight w:val="567"/>
        </w:trPr>
        <w:tc>
          <w:tcPr>
            <w:tcW w:type="dxa" w:w="3000"/>
          </w:tcPr>
          <w:p>
            <w:r>
              <w:t>Etablissement</w:t>
            </w:r>
          </w:p>
        </w:tc>
        <w:tc>
          <w:tcPr>
            <w:tcW w:type="dxa" w:w="7000"/>
          </w:tcPr>
          <w:p>
            <w:r>
              <w:t>عبد الحفيظ بوالصوف ميلة</w:t>
            </w:r>
          </w:p>
        </w:tc>
      </w:tr>
      <w:tr>
        <w:trPr>
          <w:trHeight w:val="567"/>
        </w:trPr>
        <w:tc>
          <w:tcPr>
            <w:tcW w:type="dxa" w:w="3000"/>
          </w:tcPr>
          <w:p>
            <w:r>
              <w:t>Année de Soutenance</w:t>
            </w:r>
          </w:p>
        </w:tc>
        <w:tc>
          <w:tcPr>
            <w:tcW w:type="dxa" w:w="7000"/>
          </w:tcPr>
          <w:p>
            <w:r>
              <w:t>2026</w:t>
            </w:r>
          </w:p>
        </w:tc>
      </w:tr>
      <w:tr>
        <w:trPr>
          <w:trHeight w:val="567"/>
        </w:trPr>
        <w:tc>
          <w:tcPr>
            <w:tcW w:type="dxa" w:w="3000"/>
          </w:tcPr>
          <w:p>
            <w:r>
              <w:t>Numéro d'Identification</w:t>
            </w:r>
          </w:p>
        </w:tc>
        <w:tc>
          <w:tcPr>
            <w:tcW w:type="dxa" w:w="7000"/>
          </w:tcPr>
          <w:p>
            <w:r>
              <w:t>D.N33041</w:t>
            </w:r>
          </w:p>
        </w:tc>
      </w:tr>
      <w:tr>
        <w:trPr>
          <w:trHeight w:val="567"/>
        </w:trPr>
        <w:tc>
          <w:tcPr>
            <w:tcW w:type="dxa" w:w="3000"/>
          </w:tcPr>
          <w:p>
            <w:r>
              <w:t>Classification(s)</w:t>
            </w:r>
          </w:p>
        </w:tc>
        <w:tc>
          <w:tcPr>
            <w:tcW w:type="dxa" w:w="7000"/>
          </w:tcPr>
          <w:p>
            <w:r>
              <w:t xml:space="preserve">علوم إقتصادية/ </w:t>
            </w:r>
          </w:p>
        </w:tc>
      </w:tr>
    </w:tbl>
    <w:p>
      <w:pPr>
        <w:pStyle w:val="Heading3"/>
      </w:pPr>
      <w:r>
        <w:t>Résumé :</w:t>
      </w:r>
    </w:p>
    <w:p>
      <w:r>
        <w:t>تعتبر الصناعة المصرفية الإسلامية من التجارب الناجحة على الصعيد المحلي والعالمي ضمن بيئة الأعمال الحالية، نظرا للمكانة الاسترا تيجية التي استحوذت عليها وانتقالها من مرا حل التأسيس والتوسع إلى مرا حل الثبات والقيادة مما أدى إلى ظهور جملة من الفجوات والعقبات الاسترا تيجية التي شكلت تحديا في مسارها ونجاحاتها. وعلى هذا الأساس جاءت هذه الد را سة بهدف استكشاف الدور الذي يمكن أن تلعبه استرا تيجية المحيط الأزرق في إعادة بناء حدود هذه الصناعة، باعتبارها من أحدث الخيارا ت الاسترا تيجية القادرة على دفع المؤسسات المصرفية إلى إعادة ابتكار القيمة والتوجه نحو استبعاد المنافسة والعمل على خلق مساحات سوقية غير مستغلة بعد. وكذا تحديد إمكانية تبني أدوات وآليات صياغة هذه الاسترا تيجية في هذا النوع من الصناعات، من خلال تسليط الضوء على التصميم الفعلي التنفيذي الذي تقوم عليه وجوانب التوافق الاست ا رتيجية بينها وبين طبيعة الصناعة المصرفية الإسلامية. حيث تم الاعتماد على المنهج الوصفي التحليلي للتعريف بمتغيرا ت الد را سة وإثبات العلاقة القائمة بينهما من جهة، واستعمال المقاربة )الكيفية/ الكمية( من أجل تحليل البيانات المجمعة بالاعتماد على الأدوات الإحصائية الملائمة لعينة الد را سة المتكونة من 29 مصرف اسلامي را ئد في الصناعة وموزع على 11 دولة يضم نظامها المالي الكلي الجانب الإسلامي. قد توصلت هذه الد را سة إلى ضرورة تبني الصناعة المصرفية الإسلامية لمنظور استرا تيجية المحيط الأزرق، نظرا لتمكن خريطة المنفعة الاستثنائية للمستهلك الخاصة بها من تحديد طبيعة الفجوات الاسترا تيجية للصناعة، واكتشاف الفرص الابتكارية المهمشة التي تعبر عن سياق واضح المعالم لفتح سوق إسلامي مبتكر بعيدا عن المنافسة وفق الدمج بين عوامل المنفعة وعوامل القيمة. وكذا اقترا ح نموذج جديد للشرا ع الاسترا تيجي الخاص بالصناعة المصرفية الإسلامية ومقارنته مع الشر ا ع الحالي من خلال تطبيق كل نموذج طبقاتاللازبائن، مصفوفة الأبعاد الأربعة، والمسا را ت الستة التنفيذية للاستر ا تيجية المختارة. كما تقترح الد را سة ضرورة نشر الوعي المصرفي الإسلامي من خلال تكثيف الدو را ت التثقيفية والمؤتمرا ت والندوات حول أهمية وفوائد الخدمات والمنتجات المالية التي تقدمها المصارف الإسلامية، بغية التوجه نحو تقبل فكرة التغيير والتجديد الاسترا تيجي من خلال د را سة مدى إمكانية تطبيق النتائج المتوصل إليها بما فيها النموذج الاسترا تيجي المقترح خاصة من قبل عينة مجموعة المصارف الإسلامية محل الد را سة.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24/10/2026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